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B50394">
      <w:pPr>
        <w:spacing w:after="0" w:line="276" w:lineRule="auto"/>
        <w:ind w:firstLine="709"/>
        <w:jc w:val="right"/>
      </w:pPr>
      <w:bookmarkStart w:id="0" w:name="_GoBack"/>
      <w:bookmarkEnd w:id="0"/>
    </w:p>
    <w:p w14:paraId="41FA9EC7">
      <w:pPr>
        <w:spacing w:after="0" w:line="276" w:lineRule="auto"/>
        <w:ind w:firstLine="709"/>
        <w:jc w:val="right"/>
      </w:pPr>
      <w:r>
        <w:t>Таблица 2.</w:t>
      </w:r>
    </w:p>
    <w:p w14:paraId="0E21CD6D">
      <w:pPr>
        <w:spacing w:after="0" w:line="276" w:lineRule="auto"/>
        <w:jc w:val="center"/>
      </w:pPr>
      <w:r>
        <w:t>Сравнительный анализ экспрессии miRNA у пациентов с Long COVID в зависимости от наличия ГБ.</w:t>
      </w:r>
    </w:p>
    <w:p w14:paraId="3FF18BDB">
      <w:pPr>
        <w:spacing w:after="0" w:line="276" w:lineRule="auto"/>
        <w:jc w:val="center"/>
        <w:rPr>
          <w:lang w:val="en-US"/>
        </w:rPr>
      </w:pPr>
      <w:r>
        <w:rPr>
          <w:lang w:val="en-US"/>
        </w:rPr>
        <w:t>Comparative analysis of miRNA expression in Long COVID patients depending on the presence of AH.</w:t>
      </w:r>
    </w:p>
    <w:tbl>
      <w:tblPr>
        <w:tblStyle w:val="4"/>
        <w:tblW w:w="93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2551"/>
        <w:gridCol w:w="2552"/>
        <w:gridCol w:w="1276"/>
      </w:tblGrid>
      <w:tr w14:paraId="75839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Align w:val="center"/>
          </w:tcPr>
          <w:p w14:paraId="1E0C9B7F">
            <w:pPr>
              <w:spacing w:after="0" w:line="360" w:lineRule="auto"/>
              <w:jc w:val="center"/>
            </w:pPr>
            <w:r>
              <w:t xml:space="preserve">Показатель </w:t>
            </w:r>
          </w:p>
          <w:p w14:paraId="529875B8">
            <w:pPr>
              <w:spacing w:after="0" w:line="360" w:lineRule="auto"/>
              <w:jc w:val="center"/>
            </w:pPr>
            <w:r>
              <w:t>Parameter</w:t>
            </w:r>
          </w:p>
        </w:tc>
        <w:tc>
          <w:tcPr>
            <w:tcW w:w="2551" w:type="dxa"/>
            <w:vAlign w:val="center"/>
          </w:tcPr>
          <w:p w14:paraId="754FCF98">
            <w:pPr>
              <w:spacing w:after="0" w:line="360" w:lineRule="auto"/>
              <w:jc w:val="center"/>
              <w:rPr>
                <w:lang w:val="en-US"/>
              </w:rPr>
            </w:pPr>
            <w:r>
              <w:t>Группа</w:t>
            </w:r>
            <w:r>
              <w:rPr>
                <w:lang w:val="en-US"/>
              </w:rPr>
              <w:t xml:space="preserve"> </w:t>
            </w:r>
            <w:r>
              <w:t>с</w:t>
            </w:r>
            <w:r>
              <w:rPr>
                <w:lang w:val="en-US"/>
              </w:rPr>
              <w:t xml:space="preserve"> </w:t>
            </w:r>
            <w:r>
              <w:t>ГБ</w:t>
            </w:r>
            <w:r>
              <w:rPr>
                <w:lang w:val="en-US"/>
              </w:rPr>
              <w:t xml:space="preserve"> (n=50)  Group with AH (n=50)</w:t>
            </w:r>
          </w:p>
        </w:tc>
        <w:tc>
          <w:tcPr>
            <w:tcW w:w="2552" w:type="dxa"/>
            <w:vAlign w:val="center"/>
          </w:tcPr>
          <w:p w14:paraId="0D8EAFB4">
            <w:pPr>
              <w:spacing w:after="0" w:line="360" w:lineRule="auto"/>
              <w:jc w:val="center"/>
              <w:rPr>
                <w:lang w:val="en-US"/>
              </w:rPr>
            </w:pPr>
            <w:r>
              <w:t>Группа</w:t>
            </w:r>
            <w:r>
              <w:rPr>
                <w:lang w:val="en-US"/>
              </w:rPr>
              <w:t xml:space="preserve"> </w:t>
            </w:r>
            <w:r>
              <w:t>без</w:t>
            </w:r>
            <w:r>
              <w:rPr>
                <w:lang w:val="en-US"/>
              </w:rPr>
              <w:t xml:space="preserve"> </w:t>
            </w:r>
            <w:r>
              <w:t>ГБ</w:t>
            </w:r>
            <w:r>
              <w:rPr>
                <w:lang w:val="en-US"/>
              </w:rPr>
              <w:t xml:space="preserve"> (n=52) </w:t>
            </w:r>
          </w:p>
          <w:p w14:paraId="0966F771">
            <w:pPr>
              <w:spacing w:after="0"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Group without AH (n=52)</w:t>
            </w:r>
          </w:p>
        </w:tc>
        <w:tc>
          <w:tcPr>
            <w:tcW w:w="1276" w:type="dxa"/>
            <w:vAlign w:val="center"/>
          </w:tcPr>
          <w:p w14:paraId="406BB181">
            <w:pPr>
              <w:spacing w:after="0" w:line="360" w:lineRule="auto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p</w:t>
            </w:r>
          </w:p>
        </w:tc>
      </w:tr>
      <w:tr w14:paraId="65159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Align w:val="center"/>
          </w:tcPr>
          <w:p w14:paraId="463D12DA">
            <w:pPr>
              <w:spacing w:after="0" w:line="360" w:lineRule="auto"/>
              <w:jc w:val="center"/>
            </w:pPr>
            <w:r>
              <w:t>mir-28</w:t>
            </w:r>
          </w:p>
        </w:tc>
        <w:tc>
          <w:tcPr>
            <w:tcW w:w="2551" w:type="dxa"/>
            <w:vAlign w:val="center"/>
          </w:tcPr>
          <w:p w14:paraId="5830A559">
            <w:pPr>
              <w:spacing w:after="0" w:line="360" w:lineRule="auto"/>
              <w:jc w:val="center"/>
            </w:pPr>
            <w:r>
              <w:t>46,4±2,9</w:t>
            </w:r>
          </w:p>
        </w:tc>
        <w:tc>
          <w:tcPr>
            <w:tcW w:w="2552" w:type="dxa"/>
            <w:vAlign w:val="center"/>
          </w:tcPr>
          <w:p w14:paraId="739462A8">
            <w:pPr>
              <w:spacing w:after="0" w:line="360" w:lineRule="auto"/>
              <w:jc w:val="center"/>
            </w:pPr>
            <w:r>
              <w:t>47,8±1,6</w:t>
            </w:r>
          </w:p>
        </w:tc>
        <w:tc>
          <w:tcPr>
            <w:tcW w:w="1276" w:type="dxa"/>
            <w:vAlign w:val="center"/>
          </w:tcPr>
          <w:p w14:paraId="1CD150D5">
            <w:pPr>
              <w:spacing w:after="0" w:line="360" w:lineRule="auto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0,0017</w:t>
            </w:r>
          </w:p>
        </w:tc>
      </w:tr>
      <w:tr w14:paraId="191D4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Align w:val="center"/>
          </w:tcPr>
          <w:p w14:paraId="483F6E75">
            <w:pPr>
              <w:spacing w:after="0" w:line="360" w:lineRule="auto"/>
              <w:jc w:val="center"/>
            </w:pPr>
            <w:r>
              <w:t>mir-39</w:t>
            </w:r>
          </w:p>
        </w:tc>
        <w:tc>
          <w:tcPr>
            <w:tcW w:w="2551" w:type="dxa"/>
            <w:vAlign w:val="center"/>
          </w:tcPr>
          <w:p w14:paraId="5B1A10CC">
            <w:pPr>
              <w:spacing w:after="0" w:line="360" w:lineRule="auto"/>
              <w:jc w:val="center"/>
            </w:pPr>
            <w:r>
              <w:t>32,4±10,2</w:t>
            </w:r>
          </w:p>
        </w:tc>
        <w:tc>
          <w:tcPr>
            <w:tcW w:w="2552" w:type="dxa"/>
            <w:vAlign w:val="center"/>
          </w:tcPr>
          <w:p w14:paraId="28F22C65">
            <w:pPr>
              <w:spacing w:after="0" w:line="360" w:lineRule="auto"/>
              <w:jc w:val="center"/>
            </w:pPr>
            <w:r>
              <w:t>20,2±4,3</w:t>
            </w:r>
          </w:p>
        </w:tc>
        <w:tc>
          <w:tcPr>
            <w:tcW w:w="1276" w:type="dxa"/>
            <w:vAlign w:val="center"/>
          </w:tcPr>
          <w:p w14:paraId="683F2CF5">
            <w:pPr>
              <w:spacing w:after="0" w:line="360" w:lineRule="auto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&lt;0,0001</w:t>
            </w:r>
          </w:p>
        </w:tc>
      </w:tr>
      <w:tr w14:paraId="638FE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Align w:val="center"/>
          </w:tcPr>
          <w:p w14:paraId="7269E0F7">
            <w:pPr>
              <w:spacing w:after="0" w:line="360" w:lineRule="auto"/>
              <w:jc w:val="center"/>
            </w:pPr>
            <w:r>
              <w:t>ΔCt (mir-155)</w:t>
            </w:r>
          </w:p>
        </w:tc>
        <w:tc>
          <w:tcPr>
            <w:tcW w:w="2551" w:type="dxa"/>
            <w:vAlign w:val="center"/>
          </w:tcPr>
          <w:p w14:paraId="00122B2B">
            <w:pPr>
              <w:spacing w:after="0" w:line="360" w:lineRule="auto"/>
              <w:jc w:val="center"/>
            </w:pPr>
            <w:r>
              <w:t>–7,0±6,4</w:t>
            </w:r>
          </w:p>
        </w:tc>
        <w:tc>
          <w:tcPr>
            <w:tcW w:w="2552" w:type="dxa"/>
            <w:vAlign w:val="center"/>
          </w:tcPr>
          <w:p w14:paraId="555BD3AD">
            <w:pPr>
              <w:spacing w:after="0" w:line="360" w:lineRule="auto"/>
              <w:jc w:val="center"/>
            </w:pPr>
            <w:r>
              <w:t>–11,1±1,5</w:t>
            </w:r>
          </w:p>
        </w:tc>
        <w:tc>
          <w:tcPr>
            <w:tcW w:w="1276" w:type="dxa"/>
            <w:vAlign w:val="center"/>
          </w:tcPr>
          <w:p w14:paraId="572B8E82">
            <w:pPr>
              <w:spacing w:after="0" w:line="360" w:lineRule="auto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&lt;0,0001</w:t>
            </w:r>
          </w:p>
        </w:tc>
      </w:tr>
      <w:tr w14:paraId="5EB43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Align w:val="center"/>
          </w:tcPr>
          <w:p w14:paraId="6C8120FF">
            <w:pPr>
              <w:spacing w:after="0" w:line="360" w:lineRule="auto"/>
              <w:jc w:val="center"/>
            </w:pPr>
            <w:r>
              <w:t>ΔCt (mir-28)</w:t>
            </w:r>
          </w:p>
        </w:tc>
        <w:tc>
          <w:tcPr>
            <w:tcW w:w="2551" w:type="dxa"/>
            <w:vAlign w:val="center"/>
          </w:tcPr>
          <w:p w14:paraId="23EB2BF7">
            <w:pPr>
              <w:spacing w:after="0" w:line="360" w:lineRule="auto"/>
              <w:jc w:val="center"/>
            </w:pPr>
            <w:r>
              <w:t>14,0±10,7</w:t>
            </w:r>
          </w:p>
        </w:tc>
        <w:tc>
          <w:tcPr>
            <w:tcW w:w="2552" w:type="dxa"/>
            <w:vAlign w:val="center"/>
          </w:tcPr>
          <w:p w14:paraId="749FA9B0">
            <w:pPr>
              <w:spacing w:after="0" w:line="360" w:lineRule="auto"/>
              <w:jc w:val="center"/>
            </w:pPr>
            <w:r>
              <w:t>28,0±5,6</w:t>
            </w:r>
          </w:p>
        </w:tc>
        <w:tc>
          <w:tcPr>
            <w:tcW w:w="1276" w:type="dxa"/>
            <w:vAlign w:val="center"/>
          </w:tcPr>
          <w:p w14:paraId="01BB720A">
            <w:pPr>
              <w:spacing w:after="0" w:line="360" w:lineRule="auto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&lt;0,0001</w:t>
            </w:r>
          </w:p>
        </w:tc>
      </w:tr>
    </w:tbl>
    <w:p w14:paraId="3D1180F2">
      <w:pPr>
        <w:spacing w:after="0" w:line="276" w:lineRule="auto"/>
        <w:ind w:firstLine="709"/>
        <w:jc w:val="center"/>
        <w:rPr>
          <w:i/>
          <w:sz w:val="24"/>
        </w:rPr>
      </w:pPr>
      <w:r>
        <w:rPr>
          <w:i/>
          <w:sz w:val="24"/>
        </w:rPr>
        <w:t>p&lt;0,05 считается статистически значимым.</w:t>
      </w:r>
    </w:p>
    <w:p w14:paraId="312707C8">
      <w:pPr>
        <w:spacing w:after="0" w:line="276" w:lineRule="auto"/>
        <w:ind w:firstLine="709"/>
        <w:jc w:val="center"/>
        <w:rPr>
          <w:i/>
          <w:sz w:val="24"/>
          <w:lang w:val="en-US"/>
        </w:rPr>
      </w:pPr>
      <w:r>
        <w:rPr>
          <w:i/>
          <w:sz w:val="24"/>
          <w:lang w:val="en-US"/>
        </w:rPr>
        <w:t>p&lt;0.05 is considered statistically significant.</w:t>
      </w:r>
    </w:p>
    <w:p w14:paraId="4EBD6C97">
      <w:pPr>
        <w:spacing w:after="0" w:line="276" w:lineRule="auto"/>
        <w:ind w:firstLine="709"/>
        <w:jc w:val="center"/>
        <w:rPr>
          <w:lang w:val="en-US"/>
        </w:rPr>
      </w:pPr>
    </w:p>
    <w:sectPr>
      <w:pgSz w:w="11906" w:h="16838"/>
      <w:pgMar w:top="1134" w:right="851" w:bottom="1134" w:left="170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63C"/>
    <w:rsid w:val="000603B0"/>
    <w:rsid w:val="003230DA"/>
    <w:rsid w:val="003E563C"/>
    <w:rsid w:val="006C0B77"/>
    <w:rsid w:val="008242FF"/>
    <w:rsid w:val="00870751"/>
    <w:rsid w:val="00922C48"/>
    <w:rsid w:val="00AC59F4"/>
    <w:rsid w:val="00B057A0"/>
    <w:rsid w:val="00B915B7"/>
    <w:rsid w:val="00EA59DF"/>
    <w:rsid w:val="00EE4070"/>
    <w:rsid w:val="00F12C76"/>
    <w:rsid w:val="5A242063"/>
    <w:rsid w:val="60CF05F6"/>
    <w:rsid w:val="6CAF146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40" w:lineRule="auto"/>
    </w:pPr>
    <w:rPr>
      <w:rFonts w:ascii="Times New Roman" w:hAnsi="Times New Roman" w:eastAsiaTheme="minorHAnsi" w:cstheme="minorBidi"/>
      <w:sz w:val="28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1</Pages>
  <Words>213</Words>
  <Characters>1218</Characters>
  <Lines>10</Lines>
  <Paragraphs>2</Paragraphs>
  <TotalTime>7</TotalTime>
  <ScaleCrop>false</ScaleCrop>
  <LinksUpToDate>false</LinksUpToDate>
  <CharactersWithSpaces>1429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2025-08-21T03:13:00Z</dcterms:created>
  <dc:creator>OPTOPOL</dc:creator>
  <cp:lastModifiedBy>Nozima Agzamxodjaeva</cp:lastModifiedBy>
  <dcterms:modified xsi:type="dcterms:W3CDTF">2025-09-18T15:02:38Z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A0C155931FF144FA99D88FD928A0AFE3_12</vt:lpwstr>
  </property>
</Properties>
</file>